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0A2D6">
      <w:pPr>
        <w:jc w:val="center"/>
        <w:rPr>
          <w:rFonts w:ascii="宋体" w:hAnsi="宋体"/>
          <w:b/>
          <w:color w:val="000000"/>
          <w:sz w:val="36"/>
          <w:highlight w:val="none"/>
        </w:rPr>
      </w:pPr>
      <w:r>
        <w:rPr>
          <w:rFonts w:hint="eastAsia" w:ascii="宋体" w:hAnsi="宋体"/>
          <w:b/>
          <w:color w:val="000000"/>
          <w:sz w:val="36"/>
          <w:highlight w:val="none"/>
        </w:rPr>
        <w:t>采购需求</w:t>
      </w:r>
      <w:bookmarkStart w:id="0" w:name="EB69fca8740d1f4b0e9a8dbc98881cd3d4"/>
    </w:p>
    <w:p w14:paraId="72E368ED">
      <w:pPr>
        <w:widowControl/>
        <w:spacing w:before="750" w:after="240"/>
        <w:jc w:val="left"/>
        <w:rPr>
          <w:rFonts w:ascii="宋体" w:hAnsi="宋体" w:cs="宋体"/>
          <w:sz w:val="24"/>
          <w:szCs w:val="24"/>
          <w:highlight w:val="none"/>
        </w:rPr>
      </w:pPr>
      <w:r>
        <w:rPr>
          <w:rFonts w:hint="eastAsia" w:ascii="宋体" w:hAnsi="宋体" w:cs="宋体"/>
          <w:b/>
          <w:bCs/>
          <w:color w:val="000000"/>
          <w:sz w:val="24"/>
          <w:szCs w:val="24"/>
          <w:highlight w:val="none"/>
        </w:rPr>
        <w:t>一.项目概况</w:t>
      </w:r>
    </w:p>
    <w:p w14:paraId="6202AB89">
      <w:pPr>
        <w:spacing w:line="520" w:lineRule="exac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工程概况及项目特征:本工程为镇江市车管所消防设施整改工程，包含综合楼消防整改、调修车间消防整改、办公服务大楼整改、监控待考中心消防整改，工程量清单主要消防电系统、火灾报警系统、消防水系统等分部分项内容。</w:t>
      </w:r>
    </w:p>
    <w:p w14:paraId="02DA8C8E">
      <w:pPr>
        <w:numPr>
          <w:ilvl w:val="0"/>
          <w:numId w:val="0"/>
        </w:numPr>
        <w:spacing w:line="520" w:lineRule="exac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2、工程招标范围</w:t>
      </w:r>
    </w:p>
    <w:p w14:paraId="6EADD105">
      <w:pPr>
        <w:spacing w:line="52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详见施工图纸及工程量清单内的所有内容。</w:t>
      </w:r>
    </w:p>
    <w:p w14:paraId="7E0C8832">
      <w:pPr>
        <w:widowControl/>
        <w:spacing w:before="240" w:after="240" w:line="360" w:lineRule="atLeast"/>
        <w:jc w:val="lef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项目所属行业：建筑业</w:t>
      </w:r>
    </w:p>
    <w:p w14:paraId="32DC7657">
      <w:pPr>
        <w:widowControl/>
        <w:spacing w:before="240" w:after="240"/>
        <w:jc w:val="left"/>
        <w:rPr>
          <w:rFonts w:ascii="宋体" w:hAnsi="宋体" w:cs="宋体"/>
          <w:sz w:val="24"/>
          <w:szCs w:val="24"/>
          <w:highlight w:val="none"/>
        </w:rPr>
      </w:pPr>
      <w:r>
        <w:rPr>
          <w:rFonts w:hint="eastAsia" w:ascii="宋体" w:hAnsi="宋体" w:cs="宋体"/>
          <w:b/>
          <w:bCs/>
          <w:color w:val="000000"/>
          <w:sz w:val="24"/>
          <w:szCs w:val="24"/>
          <w:highlight w:val="none"/>
        </w:rPr>
        <w:t>二.</w:t>
      </w:r>
      <w:r>
        <w:rPr>
          <w:rFonts w:ascii="Times New Roman" w:hAnsi="Times New Roman"/>
          <w:color w:val="000000"/>
          <w:sz w:val="24"/>
          <w:szCs w:val="24"/>
          <w:highlight w:val="none"/>
        </w:rPr>
        <w:t> </w:t>
      </w:r>
      <w:r>
        <w:rPr>
          <w:rFonts w:hint="eastAsia" w:ascii="宋体" w:hAnsi="宋体" w:cs="宋体"/>
          <w:b/>
          <w:bCs/>
          <w:color w:val="000000"/>
          <w:sz w:val="24"/>
          <w:szCs w:val="24"/>
          <w:highlight w:val="none"/>
        </w:rPr>
        <w:t>采购预算（最高限价）</w:t>
      </w:r>
    </w:p>
    <w:p w14:paraId="08A92CD5">
      <w:pPr>
        <w:widowControl/>
        <w:spacing w:before="240" w:after="240"/>
        <w:ind w:firstLine="424"/>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采购预算：</w:t>
      </w:r>
      <w:r>
        <w:rPr>
          <w:rFonts w:hint="eastAsia" w:ascii="宋体" w:hAnsi="宋体" w:cs="宋体"/>
          <w:color w:val="000000"/>
          <w:sz w:val="24"/>
          <w:szCs w:val="24"/>
          <w:highlight w:val="none"/>
          <w:lang w:val="en-US" w:eastAsia="zh-CN"/>
        </w:rPr>
        <w:t>315.329561万元</w:t>
      </w:r>
    </w:p>
    <w:p w14:paraId="02C50C37">
      <w:pPr>
        <w:spacing w:line="360" w:lineRule="auto"/>
        <w:ind w:firstLine="482"/>
        <w:rPr>
          <w:rFonts w:hint="eastAsia" w:ascii="宋体" w:hAnsi="宋体" w:cs="宋体"/>
          <w:color w:val="000000"/>
          <w:sz w:val="24"/>
          <w:szCs w:val="24"/>
          <w:highlight w:val="none"/>
        </w:rPr>
      </w:pPr>
      <w:r>
        <w:rPr>
          <w:rFonts w:hint="eastAsia" w:ascii="宋体" w:hAnsi="宋体" w:cs="宋体"/>
          <w:color w:val="000000"/>
          <w:sz w:val="24"/>
          <w:szCs w:val="24"/>
          <w:highlight w:val="none"/>
        </w:rPr>
        <w:t>最高限价：</w:t>
      </w:r>
      <w:r>
        <w:rPr>
          <w:rFonts w:hint="eastAsia" w:ascii="宋体" w:hAnsi="宋体" w:cs="宋体"/>
          <w:color w:val="000000"/>
          <w:sz w:val="24"/>
          <w:szCs w:val="24"/>
          <w:highlight w:val="none"/>
          <w:lang w:val="en-US" w:eastAsia="zh-CN"/>
        </w:rPr>
        <w:t>3153295.61元，投标供应商的</w:t>
      </w:r>
      <w:r>
        <w:rPr>
          <w:rFonts w:hint="eastAsia" w:ascii="宋体" w:hAnsi="宋体" w:cs="宋体"/>
          <w:color w:val="000000"/>
          <w:sz w:val="24"/>
          <w:szCs w:val="24"/>
          <w:highlight w:val="none"/>
        </w:rPr>
        <w:t>投标报价不得超过最高限价，否则投标无效。</w:t>
      </w:r>
    </w:p>
    <w:p w14:paraId="34A38E64">
      <w:pPr>
        <w:widowControl/>
        <w:spacing w:before="240" w:after="240"/>
        <w:jc w:val="left"/>
        <w:rPr>
          <w:rFonts w:ascii="宋体" w:hAnsi="宋体" w:cs="宋体"/>
          <w:sz w:val="24"/>
          <w:szCs w:val="24"/>
          <w:highlight w:val="none"/>
        </w:rPr>
      </w:pPr>
      <w:r>
        <w:rPr>
          <w:rFonts w:hint="eastAsia" w:ascii="宋体" w:hAnsi="宋体" w:cs="宋体"/>
          <w:b/>
          <w:bCs/>
          <w:color w:val="000000"/>
          <w:sz w:val="24"/>
          <w:szCs w:val="24"/>
          <w:highlight w:val="none"/>
        </w:rPr>
        <w:t>三.采购标的汇总表</w:t>
      </w:r>
    </w:p>
    <w:p w14:paraId="1E51A9F6">
      <w:pPr>
        <w:widowControl/>
        <w:spacing w:before="240" w:after="240"/>
        <w:jc w:val="left"/>
        <w:rPr>
          <w:rFonts w:ascii="宋体" w:hAnsi="宋体" w:cs="宋体"/>
          <w:sz w:val="24"/>
          <w:szCs w:val="24"/>
          <w:highlight w:val="none"/>
        </w:rPr>
      </w:pPr>
      <w:r>
        <w:rPr>
          <w:rFonts w:hint="eastAsia" w:ascii="宋体" w:hAnsi="宋体" w:cs="宋体"/>
          <w:color w:val="000000"/>
          <w:sz w:val="24"/>
          <w:szCs w:val="24"/>
          <w:highlight w:val="none"/>
        </w:rPr>
        <w:t>（一）采购标的</w:t>
      </w:r>
    </w:p>
    <w:p w14:paraId="4BE1DA41">
      <w:pPr>
        <w:widowControl/>
        <w:spacing w:before="240" w:after="240"/>
        <w:jc w:val="left"/>
        <w:rPr>
          <w:rFonts w:ascii="宋体" w:hAnsi="宋体" w:cs="宋体"/>
          <w:sz w:val="24"/>
          <w:szCs w:val="24"/>
          <w:highlight w:val="none"/>
        </w:rPr>
      </w:pPr>
      <w:r>
        <w:rPr>
          <w:rFonts w:hint="eastAsia" w:ascii="宋体" w:hAnsi="宋体" w:cs="宋体"/>
          <w:color w:val="000000"/>
          <w:sz w:val="24"/>
          <w:szCs w:val="24"/>
          <w:highlight w:val="none"/>
        </w:rPr>
        <w:t>1.工程类标的</w:t>
      </w:r>
    </w:p>
    <w:tbl>
      <w:tblPr>
        <w:tblStyle w:val="2"/>
        <w:tblW w:w="5018" w:type="pct"/>
        <w:tblInd w:w="128" w:type="dxa"/>
        <w:tblBorders>
          <w:top w:val="single" w:color="808080" w:sz="6" w:space="0"/>
          <w:left w:val="single" w:color="808080" w:sz="6" w:space="0"/>
          <w:bottom w:val="single" w:color="808080" w:sz="6" w:space="0"/>
          <w:right w:val="single" w:color="808080" w:sz="6" w:space="0"/>
          <w:insideH w:val="none" w:color="000000" w:sz="0" w:space="0"/>
          <w:insideV w:val="none" w:color="000000" w:sz="0" w:space="0"/>
        </w:tblBorders>
        <w:tblLayout w:type="autofit"/>
        <w:tblCellMar>
          <w:top w:w="15" w:type="dxa"/>
          <w:left w:w="15" w:type="dxa"/>
          <w:bottom w:w="15" w:type="dxa"/>
          <w:right w:w="15" w:type="dxa"/>
        </w:tblCellMar>
      </w:tblPr>
      <w:tblGrid>
        <w:gridCol w:w="685"/>
        <w:gridCol w:w="1828"/>
        <w:gridCol w:w="760"/>
        <w:gridCol w:w="755"/>
        <w:gridCol w:w="3671"/>
        <w:gridCol w:w="854"/>
      </w:tblGrid>
      <w:tr w14:paraId="0E29F6A5">
        <w:tblPrEx>
          <w:tblBorders>
            <w:top w:val="single" w:color="808080" w:sz="6" w:space="0"/>
            <w:left w:val="single" w:color="808080" w:sz="6" w:space="0"/>
            <w:bottom w:val="single" w:color="808080" w:sz="6" w:space="0"/>
            <w:right w:val="single" w:color="808080" w:sz="6" w:space="0"/>
            <w:insideH w:val="none" w:color="000000" w:sz="0" w:space="0"/>
            <w:insideV w:val="none" w:color="000000" w:sz="0" w:space="0"/>
          </w:tblBorders>
          <w:tblCellMar>
            <w:top w:w="15" w:type="dxa"/>
            <w:left w:w="15" w:type="dxa"/>
            <w:bottom w:w="15" w:type="dxa"/>
            <w:right w:w="15" w:type="dxa"/>
          </w:tblCellMar>
        </w:tblPrEx>
        <w:trPr>
          <w:trHeight w:val="768" w:hRule="atLeast"/>
        </w:trPr>
        <w:tc>
          <w:tcPr>
            <w:tcW w:w="400"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72F788">
            <w:pPr>
              <w:pStyle w:val="4"/>
              <w:jc w:val="center"/>
              <w:rPr>
                <w:rFonts w:ascii="宋体" w:hAnsi="宋体" w:eastAsia="宋体" w:cs="宋体"/>
                <w:b/>
                <w:bCs/>
                <w:color w:val="000000"/>
                <w:highlight w:val="none"/>
              </w:rPr>
            </w:pPr>
            <w:r>
              <w:rPr>
                <w:rFonts w:ascii="宋体" w:hAnsi="宋体" w:eastAsia="宋体" w:cs="宋体"/>
                <w:b/>
                <w:bCs/>
                <w:color w:val="000000"/>
                <w:highlight w:val="none"/>
              </w:rPr>
              <w:t>序号</w:t>
            </w:r>
          </w:p>
        </w:tc>
        <w:tc>
          <w:tcPr>
            <w:tcW w:w="1068" w:type="pct"/>
            <w:tcBorders>
              <w:top w:val="single" w:color="808080" w:sz="8" w:space="0"/>
              <w:bottom w:val="single" w:color="808080" w:sz="8" w:space="0"/>
              <w:right w:val="single" w:color="808080" w:sz="8" w:space="0"/>
            </w:tcBorders>
            <w:tcMar>
              <w:top w:w="0" w:type="dxa"/>
              <w:left w:w="108" w:type="dxa"/>
              <w:bottom w:w="0" w:type="dxa"/>
              <w:right w:w="108" w:type="dxa"/>
            </w:tcMar>
            <w:vAlign w:val="center"/>
          </w:tcPr>
          <w:p w14:paraId="3A570705">
            <w:pPr>
              <w:pStyle w:val="4"/>
              <w:spacing w:line="360" w:lineRule="auto"/>
              <w:jc w:val="center"/>
              <w:rPr>
                <w:rFonts w:ascii="宋体" w:hAnsi="宋体" w:eastAsia="宋体" w:cs="宋体"/>
                <w:b/>
                <w:bCs/>
                <w:color w:val="000000"/>
                <w:highlight w:val="none"/>
              </w:rPr>
            </w:pPr>
            <w:r>
              <w:rPr>
                <w:rFonts w:ascii="宋体" w:hAnsi="宋体" w:eastAsia="宋体" w:cs="宋体"/>
                <w:b/>
                <w:bCs/>
                <w:color w:val="000000"/>
                <w:highlight w:val="none"/>
              </w:rPr>
              <w:t>标的名称</w:t>
            </w:r>
          </w:p>
        </w:tc>
        <w:tc>
          <w:tcPr>
            <w:tcW w:w="444" w:type="pct"/>
            <w:tcBorders>
              <w:top w:val="single" w:color="808080" w:sz="8" w:space="0"/>
              <w:bottom w:val="single" w:color="808080" w:sz="8" w:space="0"/>
              <w:right w:val="single" w:color="808080" w:sz="8" w:space="0"/>
            </w:tcBorders>
            <w:tcMar>
              <w:top w:w="0" w:type="dxa"/>
              <w:left w:w="108" w:type="dxa"/>
              <w:bottom w:w="0" w:type="dxa"/>
              <w:right w:w="108" w:type="dxa"/>
            </w:tcMar>
            <w:vAlign w:val="center"/>
          </w:tcPr>
          <w:p w14:paraId="54138F8A">
            <w:pPr>
              <w:pStyle w:val="4"/>
              <w:spacing w:line="360" w:lineRule="auto"/>
              <w:jc w:val="center"/>
              <w:rPr>
                <w:rFonts w:ascii="宋体" w:hAnsi="宋体" w:eastAsia="宋体" w:cs="宋体"/>
                <w:b/>
                <w:bCs/>
                <w:color w:val="000000"/>
                <w:highlight w:val="none"/>
              </w:rPr>
            </w:pPr>
            <w:r>
              <w:rPr>
                <w:rFonts w:ascii="宋体" w:hAnsi="宋体" w:eastAsia="宋体" w:cs="宋体"/>
                <w:b/>
                <w:bCs/>
                <w:color w:val="000000"/>
                <w:highlight w:val="none"/>
              </w:rPr>
              <w:t>计量单位</w:t>
            </w:r>
          </w:p>
        </w:tc>
        <w:tc>
          <w:tcPr>
            <w:tcW w:w="441" w:type="pct"/>
            <w:tcBorders>
              <w:top w:val="single" w:color="808080" w:sz="8" w:space="0"/>
              <w:bottom w:val="single" w:color="808080" w:sz="8" w:space="0"/>
              <w:right w:val="single" w:color="808080" w:sz="8" w:space="0"/>
            </w:tcBorders>
            <w:tcMar>
              <w:top w:w="0" w:type="dxa"/>
              <w:left w:w="108" w:type="dxa"/>
              <w:bottom w:w="0" w:type="dxa"/>
              <w:right w:w="108" w:type="dxa"/>
            </w:tcMar>
            <w:vAlign w:val="center"/>
          </w:tcPr>
          <w:p w14:paraId="2572B5F2">
            <w:pPr>
              <w:pStyle w:val="4"/>
              <w:spacing w:line="360" w:lineRule="auto"/>
              <w:jc w:val="center"/>
              <w:rPr>
                <w:rFonts w:ascii="宋体" w:hAnsi="宋体" w:eastAsia="宋体" w:cs="宋体"/>
                <w:b/>
                <w:bCs/>
                <w:color w:val="000000"/>
                <w:highlight w:val="none"/>
              </w:rPr>
            </w:pPr>
            <w:r>
              <w:rPr>
                <w:rFonts w:ascii="宋体" w:hAnsi="宋体" w:eastAsia="宋体" w:cs="宋体"/>
                <w:b/>
                <w:bCs/>
                <w:color w:val="000000"/>
                <w:highlight w:val="none"/>
              </w:rPr>
              <w:t>数量</w:t>
            </w:r>
          </w:p>
        </w:tc>
        <w:tc>
          <w:tcPr>
            <w:tcW w:w="2144" w:type="pct"/>
            <w:tcBorders>
              <w:top w:val="single" w:color="808080" w:sz="8" w:space="0"/>
              <w:bottom w:val="single" w:color="808080" w:sz="8" w:space="0"/>
              <w:right w:val="single" w:color="808080" w:sz="8" w:space="0"/>
            </w:tcBorders>
            <w:tcMar>
              <w:top w:w="0" w:type="dxa"/>
              <w:left w:w="108" w:type="dxa"/>
              <w:bottom w:w="0" w:type="dxa"/>
              <w:right w:w="108" w:type="dxa"/>
            </w:tcMar>
            <w:vAlign w:val="center"/>
          </w:tcPr>
          <w:p w14:paraId="111342C5">
            <w:pPr>
              <w:pStyle w:val="4"/>
              <w:spacing w:line="360" w:lineRule="auto"/>
              <w:jc w:val="center"/>
              <w:rPr>
                <w:rFonts w:ascii="宋体" w:hAnsi="宋体" w:eastAsia="宋体" w:cs="宋体"/>
                <w:b/>
                <w:bCs/>
                <w:color w:val="000000"/>
                <w:highlight w:val="none"/>
              </w:rPr>
            </w:pPr>
            <w:r>
              <w:rPr>
                <w:rFonts w:ascii="宋体" w:hAnsi="宋体" w:eastAsia="宋体" w:cs="宋体"/>
                <w:b/>
                <w:bCs/>
                <w:color w:val="000000"/>
                <w:highlight w:val="none"/>
              </w:rPr>
              <w:t>服务要求简述</w:t>
            </w:r>
          </w:p>
        </w:tc>
        <w:tc>
          <w:tcPr>
            <w:tcW w:w="499" w:type="pct"/>
            <w:tcBorders>
              <w:top w:val="single" w:color="808080" w:sz="8" w:space="0"/>
              <w:bottom w:val="single" w:color="808080" w:sz="8" w:space="0"/>
              <w:right w:val="single" w:color="808080" w:sz="8" w:space="0"/>
            </w:tcBorders>
            <w:tcMar>
              <w:top w:w="0" w:type="dxa"/>
              <w:left w:w="108" w:type="dxa"/>
              <w:bottom w:w="0" w:type="dxa"/>
              <w:right w:w="108" w:type="dxa"/>
            </w:tcMar>
            <w:vAlign w:val="center"/>
          </w:tcPr>
          <w:p w14:paraId="2B699F4D">
            <w:pPr>
              <w:pStyle w:val="4"/>
              <w:spacing w:line="360" w:lineRule="auto"/>
              <w:jc w:val="center"/>
              <w:rPr>
                <w:rFonts w:ascii="宋体" w:hAnsi="宋体" w:eastAsia="宋体" w:cs="宋体"/>
                <w:b/>
                <w:bCs/>
                <w:color w:val="000000"/>
                <w:highlight w:val="none"/>
              </w:rPr>
            </w:pPr>
            <w:r>
              <w:rPr>
                <w:rFonts w:ascii="宋体" w:hAnsi="宋体" w:eastAsia="宋体" w:cs="宋体"/>
                <w:b/>
                <w:bCs/>
                <w:color w:val="000000"/>
                <w:highlight w:val="none"/>
              </w:rPr>
              <w:t>备注</w:t>
            </w:r>
          </w:p>
        </w:tc>
      </w:tr>
      <w:tr w14:paraId="2C0FB23F">
        <w:tblPrEx>
          <w:tblBorders>
            <w:top w:val="single" w:color="808080" w:sz="6" w:space="0"/>
            <w:left w:val="single" w:color="808080" w:sz="6" w:space="0"/>
            <w:bottom w:val="single" w:color="808080" w:sz="6" w:space="0"/>
            <w:right w:val="single" w:color="808080" w:sz="6" w:space="0"/>
            <w:insideH w:val="none" w:color="000000" w:sz="0" w:space="0"/>
            <w:insideV w:val="none" w:color="000000" w:sz="0" w:space="0"/>
          </w:tblBorders>
          <w:tblCellMar>
            <w:top w:w="15" w:type="dxa"/>
            <w:left w:w="15" w:type="dxa"/>
            <w:bottom w:w="15" w:type="dxa"/>
            <w:right w:w="15" w:type="dxa"/>
          </w:tblCellMar>
        </w:tblPrEx>
        <w:trPr>
          <w:trHeight w:val="784" w:hRule="atLeast"/>
        </w:trPr>
        <w:tc>
          <w:tcPr>
            <w:tcW w:w="0" w:type="auto"/>
            <w:tcBorders>
              <w:left w:val="single" w:color="808080" w:sz="8" w:space="0"/>
              <w:bottom w:val="single" w:color="808080" w:sz="8" w:space="0"/>
              <w:right w:val="single" w:color="808080" w:sz="8" w:space="0"/>
            </w:tcBorders>
            <w:tcMar>
              <w:top w:w="0" w:type="dxa"/>
              <w:left w:w="108" w:type="dxa"/>
              <w:bottom w:w="0" w:type="dxa"/>
              <w:right w:w="108" w:type="dxa"/>
            </w:tcMar>
            <w:vAlign w:val="center"/>
          </w:tcPr>
          <w:p w14:paraId="4933B174">
            <w:pPr>
              <w:pStyle w:val="4"/>
              <w:spacing w:line="192" w:lineRule="auto"/>
              <w:jc w:val="center"/>
              <w:rPr>
                <w:rFonts w:ascii="宋体" w:hAnsi="宋体" w:eastAsia="宋体" w:cs="宋体"/>
                <w:highlight w:val="none"/>
              </w:rPr>
            </w:pPr>
            <w:r>
              <w:rPr>
                <w:rFonts w:ascii="宋体" w:hAnsi="宋体" w:eastAsia="宋体" w:cs="宋体"/>
                <w:highlight w:val="none"/>
              </w:rPr>
              <w:t>1</w:t>
            </w:r>
          </w:p>
        </w:tc>
        <w:tc>
          <w:tcPr>
            <w:tcW w:w="1068" w:type="pct"/>
            <w:tcBorders>
              <w:bottom w:val="single" w:color="808080" w:sz="8" w:space="0"/>
              <w:right w:val="single" w:color="808080" w:sz="8" w:space="0"/>
            </w:tcBorders>
            <w:tcMar>
              <w:top w:w="0" w:type="dxa"/>
              <w:left w:w="108" w:type="dxa"/>
              <w:bottom w:w="0" w:type="dxa"/>
              <w:right w:w="108" w:type="dxa"/>
            </w:tcMar>
            <w:vAlign w:val="center"/>
          </w:tcPr>
          <w:p w14:paraId="304116E7">
            <w:pPr>
              <w:pStyle w:val="4"/>
              <w:spacing w:line="360" w:lineRule="auto"/>
              <w:rPr>
                <w:rFonts w:ascii="宋体" w:hAnsi="宋体" w:eastAsia="宋体" w:cs="宋体"/>
                <w:highlight w:val="none"/>
              </w:rPr>
            </w:pPr>
            <w:r>
              <w:rPr>
                <w:rFonts w:hint="eastAsia" w:ascii="宋体" w:hAnsi="宋体" w:cs="宋体"/>
                <w:color w:val="000000"/>
                <w:sz w:val="24"/>
                <w:szCs w:val="24"/>
                <w:highlight w:val="none"/>
              </w:rPr>
              <w:t>镇江市车管所消防设施整改工程</w:t>
            </w:r>
          </w:p>
        </w:tc>
        <w:tc>
          <w:tcPr>
            <w:tcW w:w="444" w:type="pct"/>
            <w:tcBorders>
              <w:bottom w:val="single" w:color="808080" w:sz="8" w:space="0"/>
              <w:right w:val="single" w:color="808080" w:sz="8" w:space="0"/>
            </w:tcBorders>
            <w:tcMar>
              <w:top w:w="0" w:type="dxa"/>
              <w:left w:w="108" w:type="dxa"/>
              <w:bottom w:w="0" w:type="dxa"/>
              <w:right w:w="108" w:type="dxa"/>
            </w:tcMar>
            <w:vAlign w:val="center"/>
          </w:tcPr>
          <w:p w14:paraId="366289CA">
            <w:pPr>
              <w:pStyle w:val="4"/>
              <w:spacing w:line="360" w:lineRule="auto"/>
              <w:jc w:val="center"/>
              <w:rPr>
                <w:rFonts w:ascii="宋体" w:hAnsi="宋体" w:eastAsia="宋体" w:cs="宋体"/>
                <w:highlight w:val="none"/>
              </w:rPr>
            </w:pPr>
            <w:r>
              <w:rPr>
                <w:rFonts w:hint="eastAsia" w:ascii="宋体" w:hAnsi="宋体" w:eastAsia="宋体" w:cs="宋体"/>
                <w:highlight w:val="none"/>
              </w:rPr>
              <w:t>项</w:t>
            </w:r>
          </w:p>
        </w:tc>
        <w:tc>
          <w:tcPr>
            <w:tcW w:w="441" w:type="pct"/>
            <w:tcBorders>
              <w:bottom w:val="single" w:color="808080" w:sz="8" w:space="0"/>
              <w:right w:val="single" w:color="808080" w:sz="8" w:space="0"/>
            </w:tcBorders>
            <w:tcMar>
              <w:top w:w="0" w:type="dxa"/>
              <w:left w:w="108" w:type="dxa"/>
              <w:bottom w:w="0" w:type="dxa"/>
              <w:right w:w="108" w:type="dxa"/>
            </w:tcMar>
            <w:vAlign w:val="center"/>
          </w:tcPr>
          <w:p w14:paraId="6C95CDA3">
            <w:pPr>
              <w:pStyle w:val="4"/>
              <w:spacing w:line="360" w:lineRule="auto"/>
              <w:jc w:val="center"/>
              <w:rPr>
                <w:rFonts w:ascii="宋体" w:hAnsi="宋体" w:eastAsia="宋体" w:cs="宋体"/>
                <w:highlight w:val="none"/>
              </w:rPr>
            </w:pPr>
            <w:r>
              <w:rPr>
                <w:rFonts w:hint="eastAsia" w:ascii="宋体" w:hAnsi="宋体" w:eastAsia="宋体" w:cs="宋体"/>
                <w:highlight w:val="none"/>
              </w:rPr>
              <w:t>1</w:t>
            </w:r>
          </w:p>
        </w:tc>
        <w:tc>
          <w:tcPr>
            <w:tcW w:w="2144" w:type="pct"/>
            <w:tcBorders>
              <w:bottom w:val="single" w:color="808080" w:sz="8" w:space="0"/>
              <w:right w:val="single" w:color="808080" w:sz="8" w:space="0"/>
            </w:tcBorders>
            <w:tcMar>
              <w:top w:w="0" w:type="dxa"/>
              <w:left w:w="108" w:type="dxa"/>
              <w:bottom w:w="0" w:type="dxa"/>
              <w:right w:w="108" w:type="dxa"/>
            </w:tcMar>
            <w:vAlign w:val="center"/>
          </w:tcPr>
          <w:p w14:paraId="4B4D93D5">
            <w:pPr>
              <w:pStyle w:val="4"/>
              <w:spacing w:line="360" w:lineRule="auto"/>
              <w:jc w:val="center"/>
              <w:rPr>
                <w:rFonts w:ascii="宋体" w:hAnsi="宋体" w:eastAsia="宋体" w:cs="宋体"/>
                <w:highlight w:val="none"/>
              </w:rPr>
            </w:pPr>
            <w:r>
              <w:rPr>
                <w:rFonts w:hint="eastAsia" w:ascii="宋体" w:hAnsi="宋体" w:eastAsia="宋体" w:cs="宋体"/>
                <w:highlight w:val="none"/>
              </w:rPr>
              <w:t>详见施工图纸及工程量清单内的所有内容</w:t>
            </w:r>
          </w:p>
        </w:tc>
        <w:tc>
          <w:tcPr>
            <w:tcW w:w="0" w:type="auto"/>
            <w:tcBorders>
              <w:bottom w:val="single" w:color="808080" w:sz="8" w:space="0"/>
              <w:right w:val="single" w:color="808080" w:sz="8" w:space="0"/>
            </w:tcBorders>
            <w:tcMar>
              <w:top w:w="0" w:type="dxa"/>
              <w:left w:w="108" w:type="dxa"/>
              <w:bottom w:w="0" w:type="dxa"/>
              <w:right w:w="108" w:type="dxa"/>
            </w:tcMar>
            <w:vAlign w:val="center"/>
          </w:tcPr>
          <w:p w14:paraId="5C8077C3">
            <w:pPr>
              <w:pStyle w:val="4"/>
              <w:spacing w:line="360" w:lineRule="auto"/>
              <w:rPr>
                <w:rFonts w:ascii="宋体" w:hAnsi="宋体" w:eastAsia="宋体" w:cs="宋体"/>
                <w:highlight w:val="none"/>
              </w:rPr>
            </w:pPr>
          </w:p>
        </w:tc>
      </w:tr>
    </w:tbl>
    <w:p w14:paraId="5E3C0412">
      <w:pPr>
        <w:widowControl/>
        <w:spacing w:line="360" w:lineRule="auto"/>
        <w:rPr>
          <w:rFonts w:hint="eastAsia" w:ascii="宋体" w:hAnsi="宋体" w:cs="宋体"/>
          <w:b/>
          <w:bCs/>
          <w:color w:val="000000"/>
          <w:sz w:val="24"/>
          <w:szCs w:val="24"/>
          <w:highlight w:val="none"/>
        </w:rPr>
      </w:pPr>
    </w:p>
    <w:p w14:paraId="077E7E14">
      <w:pPr>
        <w:widowControl/>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四.</w:t>
      </w:r>
      <w:r>
        <w:rPr>
          <w:rFonts w:hint="eastAsia" w:ascii="宋体" w:hAnsi="宋体" w:cs="宋体"/>
          <w:color w:val="000000"/>
          <w:sz w:val="24"/>
          <w:szCs w:val="24"/>
          <w:highlight w:val="none"/>
        </w:rPr>
        <w:t> </w:t>
      </w:r>
      <w:r>
        <w:rPr>
          <w:rFonts w:hint="eastAsia" w:ascii="宋体" w:hAnsi="宋体" w:cs="宋体"/>
          <w:b/>
          <w:bCs/>
          <w:color w:val="000000"/>
          <w:sz w:val="24"/>
          <w:szCs w:val="24"/>
          <w:highlight w:val="none"/>
        </w:rPr>
        <w:t>★服务部分</w:t>
      </w:r>
    </w:p>
    <w:p w14:paraId="70CF3BFD">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1.本工程</w:t>
      </w:r>
      <w:r>
        <w:rPr>
          <w:rFonts w:hint="eastAsia" w:ascii="宋体" w:hAnsi="宋体" w:cs="Times New Roman"/>
          <w:color w:val="000000"/>
          <w:sz w:val="24"/>
          <w:szCs w:val="24"/>
          <w:highlight w:val="none"/>
          <w:lang w:val="en-US" w:eastAsia="zh-CN"/>
        </w:rPr>
        <w:t>质保期</w:t>
      </w:r>
      <w:r>
        <w:rPr>
          <w:rFonts w:hint="eastAsia" w:ascii="宋体" w:hAnsi="宋体" w:eastAsia="宋体" w:cs="Times New Roman"/>
          <w:color w:val="000000"/>
          <w:sz w:val="24"/>
          <w:szCs w:val="24"/>
          <w:highlight w:val="none"/>
        </w:rPr>
        <w:t>（含消防设施维保服务期）为2年，自</w:t>
      </w:r>
      <w:r>
        <w:rPr>
          <w:rFonts w:hint="eastAsia" w:ascii="宋体" w:hAnsi="宋体" w:cs="Times New Roman"/>
          <w:color w:val="000000"/>
          <w:sz w:val="24"/>
          <w:szCs w:val="24"/>
          <w:highlight w:val="none"/>
          <w:lang w:val="en-US" w:eastAsia="zh-CN"/>
        </w:rPr>
        <w:t>竣工验收合格之日</w:t>
      </w:r>
      <w:r>
        <w:rPr>
          <w:rFonts w:hint="eastAsia" w:ascii="宋体" w:hAnsi="宋体" w:eastAsia="宋体" w:cs="Times New Roman"/>
          <w:color w:val="000000"/>
          <w:sz w:val="24"/>
          <w:szCs w:val="24"/>
          <w:highlight w:val="none"/>
        </w:rPr>
        <w:t>起计算。在</w:t>
      </w:r>
      <w:r>
        <w:rPr>
          <w:rFonts w:hint="eastAsia" w:ascii="宋体" w:hAnsi="宋体" w:cs="Times New Roman"/>
          <w:color w:val="000000"/>
          <w:sz w:val="24"/>
          <w:szCs w:val="24"/>
          <w:highlight w:val="none"/>
          <w:lang w:val="en-US" w:eastAsia="zh-CN"/>
        </w:rPr>
        <w:t>质保期</w:t>
      </w:r>
      <w:r>
        <w:rPr>
          <w:rFonts w:hint="eastAsia" w:ascii="宋体" w:hAnsi="宋体" w:eastAsia="宋体" w:cs="Times New Roman"/>
          <w:color w:val="000000"/>
          <w:sz w:val="24"/>
          <w:szCs w:val="24"/>
          <w:highlight w:val="none"/>
        </w:rPr>
        <w:t>内，供应商须对由于工程本身质量原因造成的任何缺损进行免费修补或更换。成交供应商应在接到修理通知之日后24小时内派人修理，如成交供应商不在约定期限内派人修理，采购人可委托其他人员修理，保修费用从质量保修金内扣除。</w:t>
      </w:r>
    </w:p>
    <w:p w14:paraId="7C503BD9">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2.成交供应商委派专人担任本工程项目负责人，成交供应商必须保证项目负责人亲临现场进行巡视、指导，检查施工进度和质量；施工时间内项目施工员必须全程驻留工地。</w:t>
      </w:r>
    </w:p>
    <w:p w14:paraId="2E8C8B69">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3.未经采购人同意不得更换项目负责人及项目管理班子人员，否则每更换项目负责人一次，采购人将从工程款中扣除30000元；项目管理班子其它人员每更换一次，采购人将从工程款中扣除15000元。</w:t>
      </w:r>
    </w:p>
    <w:p w14:paraId="0C1B0CB2">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4.项目完工后必须提供本项目最终的详细图纸及相关全部资料（装订成册）。</w:t>
      </w:r>
    </w:p>
    <w:p w14:paraId="0B5D3835">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5.成交供应商保证拟派项目经理无其他在建项目且无新中标（成交）工程。</w:t>
      </w:r>
    </w:p>
    <w:p w14:paraId="01B37448">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6.成交供应商承诺的工期为天，如有提前与逾期将按合同的相关条款执行。</w:t>
      </w:r>
    </w:p>
    <w:p w14:paraId="2D34603D">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7.本工程由承包人以包工、包料、包质量、包安全的方式实施，承包人应对本工程负责，不得违法分包、转包。如一经发现上述行为，采购人单方有权立即终止工程承包合同，由此产生一切法律责任和经济损失均由承包单位承担。在质保期内，凡因供应商施工造成的质量问题，供应商接采购人通知之日起日内，应无条件予以保修，相应设施损坏的及时更换。否则，采购人有权另派施工队伍施工，一切费用在尾款内扣除，超过尾款的部分，采购人有权向乙方追偿。</w:t>
      </w:r>
    </w:p>
    <w:p w14:paraId="50A3B7E2">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8.材料进场、土方及垃圾外运时须注意对采购人道路、道板及绿化等已有设施的保护，如有损坏，供应商应承诺恢复原样，相关维修费由供应商自理。</w:t>
      </w:r>
    </w:p>
    <w:p w14:paraId="1C354EA5">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9.施工中如遇现场施工与原设计有异或与原设计有冲突，应及时报知采购人及设计方，并由采购人协调解决。</w:t>
      </w:r>
    </w:p>
    <w:p w14:paraId="0BB034E6">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10.成交供应商在施工过程中注意对已完工的成品保护，保证交付采购人使用的工程符合验收标准。</w:t>
      </w:r>
    </w:p>
    <w:p w14:paraId="1748F664">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11.消防改造过程中涉及的已拆</w:t>
      </w:r>
      <w:r>
        <w:rPr>
          <w:rFonts w:hint="eastAsia" w:ascii="宋体" w:hAnsi="宋体" w:eastAsia="宋体" w:cs="Times New Roman"/>
          <w:color w:val="0000FF"/>
          <w:sz w:val="24"/>
          <w:szCs w:val="24"/>
          <w:highlight w:val="none"/>
        </w:rPr>
        <w:t>除的</w:t>
      </w:r>
      <w:r>
        <w:rPr>
          <w:rFonts w:hint="eastAsia" w:ascii="宋体" w:hAnsi="宋体" w:eastAsia="宋体" w:cs="Times New Roman"/>
          <w:color w:val="0000FF"/>
          <w:sz w:val="24"/>
          <w:szCs w:val="24"/>
          <w:highlight w:val="none"/>
          <w:lang w:val="en-US" w:eastAsia="zh-CN"/>
        </w:rPr>
        <w:t>建筑垃圾</w:t>
      </w:r>
      <w:r>
        <w:rPr>
          <w:rFonts w:hint="eastAsia" w:ascii="宋体" w:hAnsi="宋体" w:eastAsia="宋体" w:cs="Times New Roman"/>
          <w:color w:val="0000FF"/>
          <w:sz w:val="24"/>
          <w:szCs w:val="24"/>
          <w:highlight w:val="none"/>
        </w:rPr>
        <w:t>及相关配件等，均由</w:t>
      </w:r>
      <w:r>
        <w:rPr>
          <w:rFonts w:hint="eastAsia" w:ascii="宋体" w:hAnsi="宋体" w:eastAsia="宋体" w:cs="Times New Roman"/>
          <w:color w:val="000000"/>
          <w:sz w:val="24"/>
          <w:szCs w:val="24"/>
          <w:highlight w:val="none"/>
        </w:rPr>
        <w:t>供应商自行回收处理。</w:t>
      </w:r>
    </w:p>
    <w:p w14:paraId="0C5B2C9F">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12.成交供应商可以提供的其他服务措施和承诺。</w:t>
      </w:r>
    </w:p>
    <w:p w14:paraId="76E60776">
      <w:pPr>
        <w:spacing w:line="360" w:lineRule="auto"/>
        <w:ind w:firstLine="482"/>
        <w:rPr>
          <w:rFonts w:ascii="宋体" w:hAnsi="宋体"/>
          <w:b/>
          <w:color w:val="000000"/>
          <w:sz w:val="24"/>
          <w:szCs w:val="24"/>
          <w:highlight w:val="none"/>
        </w:rPr>
      </w:pPr>
      <w:r>
        <w:rPr>
          <w:rFonts w:hint="eastAsia" w:ascii="宋体" w:hAnsi="宋体"/>
          <w:b/>
          <w:color w:val="000000"/>
          <w:sz w:val="24"/>
          <w:szCs w:val="24"/>
          <w:highlight w:val="none"/>
        </w:rPr>
        <w:t>注：供应商需对上述进行逐条承诺。</w:t>
      </w:r>
    </w:p>
    <w:p w14:paraId="44482E12">
      <w:pPr>
        <w:widowControl/>
        <w:spacing w:before="240" w:after="240" w:line="360" w:lineRule="auto"/>
        <w:jc w:val="left"/>
        <w:rPr>
          <w:rFonts w:ascii="宋体" w:hAnsi="宋体" w:cs="宋体"/>
          <w:sz w:val="24"/>
          <w:szCs w:val="24"/>
          <w:highlight w:val="none"/>
        </w:rPr>
      </w:pPr>
      <w:r>
        <w:rPr>
          <w:rFonts w:hint="eastAsia" w:ascii="宋体" w:hAnsi="宋体" w:cs="宋体"/>
          <w:b/>
          <w:bCs/>
          <w:color w:val="000000"/>
          <w:sz w:val="24"/>
          <w:szCs w:val="24"/>
          <w:highlight w:val="none"/>
        </w:rPr>
        <w:t>五.交付（实施）的时间（期限）和地点（范围）</w:t>
      </w:r>
    </w:p>
    <w:p w14:paraId="0CEF2E33">
      <w:pPr>
        <w:widowControl/>
        <w:spacing w:before="240" w:after="240"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工期：</w:t>
      </w:r>
      <w:r>
        <w:rPr>
          <w:rFonts w:hint="eastAsia" w:ascii="宋体" w:hAnsi="宋体" w:cs="宋体"/>
          <w:color w:val="000000"/>
          <w:sz w:val="24"/>
          <w:szCs w:val="24"/>
          <w:highlight w:val="none"/>
          <w:lang w:val="en-US" w:eastAsia="zh-CN"/>
        </w:rPr>
        <w:t>55</w:t>
      </w:r>
      <w:r>
        <w:rPr>
          <w:rFonts w:hint="eastAsia" w:ascii="宋体" w:hAnsi="宋体" w:cs="宋体"/>
          <w:color w:val="000000"/>
          <w:sz w:val="24"/>
          <w:szCs w:val="24"/>
          <w:highlight w:val="none"/>
        </w:rPr>
        <w:t>日历天，工程地点：</w:t>
      </w:r>
      <w:r>
        <w:rPr>
          <w:rFonts w:hint="eastAsia" w:ascii="宋体" w:hAnsi="宋体" w:cs="宋体"/>
          <w:color w:val="000000"/>
          <w:sz w:val="24"/>
          <w:szCs w:val="24"/>
          <w:highlight w:val="none"/>
          <w:lang w:val="en-US" w:eastAsia="zh-CN"/>
        </w:rPr>
        <w:t>镇江市</w:t>
      </w:r>
      <w:r>
        <w:rPr>
          <w:rFonts w:hint="eastAsia" w:ascii="宋体" w:hAnsi="宋体" w:cs="宋体"/>
          <w:color w:val="000000"/>
          <w:sz w:val="24"/>
          <w:szCs w:val="24"/>
          <w:highlight w:val="none"/>
        </w:rPr>
        <w:t>。</w:t>
      </w:r>
    </w:p>
    <w:p w14:paraId="7D860875">
      <w:pPr>
        <w:widowControl/>
        <w:spacing w:before="240" w:after="240" w:line="360" w:lineRule="auto"/>
        <w:ind w:firstLine="12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六.</w:t>
      </w:r>
      <w:r>
        <w:rPr>
          <w:rFonts w:hint="eastAsia" w:ascii="宋体" w:hAnsi="宋体" w:cs="宋体"/>
          <w:color w:val="000000"/>
          <w:sz w:val="24"/>
          <w:szCs w:val="24"/>
          <w:highlight w:val="none"/>
        </w:rPr>
        <w:t>★</w:t>
      </w:r>
      <w:r>
        <w:rPr>
          <w:rFonts w:hint="eastAsia" w:ascii="宋体" w:hAnsi="宋体" w:cs="宋体"/>
          <w:b/>
          <w:bCs/>
          <w:color w:val="000000"/>
          <w:sz w:val="24"/>
          <w:szCs w:val="24"/>
          <w:highlight w:val="none"/>
        </w:rPr>
        <w:t>商务部分</w:t>
      </w:r>
    </w:p>
    <w:p w14:paraId="4963FC8A">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1.工期：</w:t>
      </w:r>
      <w:r>
        <w:rPr>
          <w:rFonts w:hint="eastAsia" w:ascii="宋体" w:hAnsi="宋体" w:cs="Times New Roman"/>
          <w:color w:val="000000"/>
          <w:sz w:val="24"/>
          <w:szCs w:val="24"/>
          <w:highlight w:val="none"/>
          <w:lang w:val="en-US" w:eastAsia="zh-CN"/>
        </w:rPr>
        <w:t>5</w:t>
      </w:r>
      <w:r>
        <w:rPr>
          <w:rFonts w:hint="eastAsia" w:ascii="宋体" w:hAnsi="宋体" w:cs="Times New Roman"/>
          <w:color w:val="0000FF"/>
          <w:sz w:val="24"/>
          <w:szCs w:val="24"/>
          <w:highlight w:val="none"/>
          <w:lang w:val="en-US" w:eastAsia="zh-CN"/>
        </w:rPr>
        <w:t>5</w:t>
      </w:r>
      <w:r>
        <w:rPr>
          <w:rFonts w:hint="eastAsia" w:ascii="宋体" w:hAnsi="宋体" w:eastAsia="宋体" w:cs="Times New Roman"/>
          <w:color w:val="0000FF"/>
          <w:sz w:val="24"/>
          <w:szCs w:val="24"/>
          <w:highlight w:val="none"/>
        </w:rPr>
        <w:t>日历天。</w:t>
      </w:r>
    </w:p>
    <w:p w14:paraId="5E5F651B">
      <w:pPr>
        <w:spacing w:line="360" w:lineRule="auto"/>
        <w:ind w:firstLine="480"/>
        <w:rPr>
          <w:rFonts w:hint="eastAsia" w:ascii="宋体" w:hAnsi="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w:t>
      </w:r>
      <w:r>
        <w:rPr>
          <w:rFonts w:hint="eastAsia" w:ascii="宋体" w:hAnsi="宋体" w:cs="Times New Roman"/>
          <w:color w:val="000000"/>
          <w:sz w:val="24"/>
          <w:szCs w:val="24"/>
          <w:highlight w:val="none"/>
          <w:lang w:val="en-US" w:eastAsia="zh-CN"/>
        </w:rPr>
        <w:t>质量标准</w:t>
      </w:r>
      <w:r>
        <w:rPr>
          <w:rFonts w:hint="eastAsia" w:ascii="宋体" w:hAnsi="宋体" w:eastAsia="宋体" w:cs="Times New Roman"/>
          <w:color w:val="000000"/>
          <w:sz w:val="24"/>
          <w:szCs w:val="24"/>
          <w:highlight w:val="none"/>
        </w:rPr>
        <w:t>：</w:t>
      </w:r>
      <w:r>
        <w:rPr>
          <w:rFonts w:hint="eastAsia" w:ascii="宋体" w:hAnsi="宋体" w:cs="Times New Roman"/>
          <w:color w:val="000000"/>
          <w:sz w:val="24"/>
          <w:szCs w:val="24"/>
          <w:highlight w:val="none"/>
          <w:lang w:val="en-US" w:eastAsia="zh-CN"/>
        </w:rPr>
        <w:t>合格</w:t>
      </w:r>
    </w:p>
    <w:p w14:paraId="43390A2A">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3.报价编制要求</w:t>
      </w:r>
    </w:p>
    <w:p w14:paraId="269E0144">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3.1供应商对本项目所提供的工程建设服务，应报出最具有竞争力的价格。本工程项目采用固定单价报价方式，供应商应根据磋商文件所提供的工程量清单及图纸，计算出报价（即首次报价）。工程完工验收后成交供应商按照相关规定的程序上报竣工结算书至采购人，工程最终结算以审计后价格为准。风险范围以外（即工程调整或变更部分）的合同价款调整方法在合同中约定。</w:t>
      </w:r>
    </w:p>
    <w:p w14:paraId="133BDBA0">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3.2供应商应执行中华人民共和国国家标准GB50500-2013《建设工程工程量清单计价规范》中相关内容及江苏省工程量清单计价的相关规定，根据磋商文件中的工程量清单、施工图纸、供应商自报质量、工期等有关要求、施工现场实际情况及供应商的施工方案或施工组织设计，依据《江苏省建设工程工程量清单计价项目指引》结合本企业的技术水平、管理水平、工程实际和市场供求状况、合同实施过程中可能发生的风险因素，由供应商自主报价。人工、材料、机械台班单价，管理费、利润、措施费用都可以自主确定，人工、材料、机械台班耗用量也可作适当调整，但定额编号、定额子目工作内容、工程量计算规则、计量单位、措施费用划分以及规费和税金应按相关规定执行。</w:t>
      </w:r>
    </w:p>
    <w:p w14:paraId="67BDB672">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3.3每种工程量只允许有一种报价，任何有选择报价将不予接受。供应商必须对磋商文件中所采购的所有工程量进行报价，只报其中部分工程量的磋商响应文件无效。</w:t>
      </w:r>
    </w:p>
    <w:p w14:paraId="1680E724">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3.4供应商应严格按磋商文件提供的工程量清单报价，不得随意合并或增减，否则视为无效报价。</w:t>
      </w:r>
    </w:p>
    <w:p w14:paraId="640B26E2">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3.5供应商不得将以下不可竞争费用降低标准计取，否则视为无效投标：</w:t>
      </w:r>
    </w:p>
    <w:p w14:paraId="7D38042C">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（1）财政、税收、物价等部门批准的税金和行政性规费；</w:t>
      </w:r>
    </w:p>
    <w:p w14:paraId="00645EB7">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（2）磋商文件明确的有关费用比例；</w:t>
      </w:r>
    </w:p>
    <w:p w14:paraId="4DAD32E8">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（3）磋商文件中已经明确固定价格的材料、采购人供应的材料及暂定暂估的费用。</w:t>
      </w:r>
    </w:p>
    <w:p w14:paraId="73DEF8A0">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5.履约保证金：本项目无</w:t>
      </w:r>
    </w:p>
    <w:p w14:paraId="21E4B3CB">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6.验收要求</w:t>
      </w:r>
    </w:p>
    <w:p w14:paraId="66A9380E">
      <w:pPr>
        <w:spacing w:line="360" w:lineRule="auto"/>
        <w:ind w:firstLine="48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工程质量标准要求合格，以国家现行工程质量验收规范及国家、省、市的强制性规范为依据。工程完工后，乙方应及时通知甲方进行验收。由建设单位组织竣工验收小组验收，由工程竣工验收小组验收，因乙方故意延误致使工程未能按时结算或提请验收的，本工程不能评定为合格。</w:t>
      </w:r>
    </w:p>
    <w:p w14:paraId="34E46952">
      <w:pPr>
        <w:numPr>
          <w:ilvl w:val="0"/>
          <w:numId w:val="1"/>
        </w:numPr>
        <w:spacing w:line="360" w:lineRule="auto"/>
        <w:ind w:firstLine="480"/>
        <w:rPr>
          <w:rFonts w:hint="eastAsia" w:ascii="宋体" w:hAnsi="宋体" w:cs="Times New Roman"/>
          <w:color w:val="000000"/>
          <w:sz w:val="24"/>
          <w:szCs w:val="24"/>
          <w:highlight w:val="none"/>
          <w:lang w:eastAsia="zh-CN"/>
        </w:rPr>
      </w:pPr>
      <w:r>
        <w:rPr>
          <w:rFonts w:hint="eastAsia" w:ascii="宋体" w:hAnsi="宋体" w:eastAsia="宋体" w:cs="Times New Roman"/>
          <w:color w:val="000000"/>
          <w:sz w:val="24"/>
          <w:szCs w:val="24"/>
          <w:highlight w:val="none"/>
        </w:rPr>
        <w:t>磋商过程中未对磋商内容做出实质性变更、修改的情况下，其最终报价不得高于首轮报价</w:t>
      </w:r>
      <w:r>
        <w:rPr>
          <w:rFonts w:hint="eastAsia" w:ascii="宋体" w:hAnsi="宋体" w:cs="Times New Roman"/>
          <w:color w:val="000000"/>
          <w:sz w:val="24"/>
          <w:szCs w:val="24"/>
          <w:highlight w:val="none"/>
          <w:lang w:eastAsia="zh-CN"/>
        </w:rPr>
        <w:t>。</w:t>
      </w:r>
    </w:p>
    <w:p w14:paraId="0A2608B1">
      <w:pPr>
        <w:numPr>
          <w:ilvl w:val="0"/>
          <w:numId w:val="1"/>
        </w:numPr>
        <w:spacing w:line="360" w:lineRule="auto"/>
        <w:ind w:firstLine="480"/>
        <w:rPr>
          <w:rFonts w:ascii="Segoe UI" w:hAnsi="Segoe UI" w:eastAsia="Segoe UI" w:cs="Segoe UI"/>
          <w:i w:val="0"/>
          <w:iCs w:val="0"/>
          <w:caps w:val="0"/>
          <w:color w:val="0000FF"/>
          <w:spacing w:val="0"/>
          <w:sz w:val="24"/>
          <w:szCs w:val="24"/>
          <w:highlight w:val="none"/>
          <w:shd w:val="clear" w:fill="FFFFFF"/>
        </w:rPr>
      </w:pPr>
      <w:r>
        <w:rPr>
          <w:rFonts w:hint="eastAsia" w:ascii="宋体" w:hAnsi="宋体" w:cs="Times New Roman"/>
          <w:color w:val="000000"/>
          <w:sz w:val="24"/>
          <w:szCs w:val="24"/>
          <w:highlight w:val="none"/>
          <w:lang w:val="en-US" w:eastAsia="zh-CN"/>
          <w14:textFill>
            <w14:gradFill>
              <w14:gsLst>
                <w14:gs w14:pos="51300">
                  <w14:srgbClr w14:val="FE5F4A"/>
                </w14:gs>
                <w14:gs w14:pos="0">
                  <w14:srgbClr w14:val="DF0303"/>
                </w14:gs>
                <w14:gs w14:pos="100000">
                  <w14:srgbClr w14:val="FEA06E"/>
                </w14:gs>
              </w14:gsLst>
              <w14:lin w14:ang="5400000" w14:scaled="1"/>
            </w14:gradFill>
          </w14:textFill>
        </w:rPr>
        <w:t>付款方式：</w:t>
      </w:r>
      <w:r>
        <w:rPr>
          <w:rFonts w:hint="eastAsia" w:ascii="Segoe UI" w:hAnsi="Segoe UI" w:eastAsia="Segoe UI" w:cs="Segoe UI"/>
          <w:i w:val="0"/>
          <w:iCs w:val="0"/>
          <w:caps w:val="0"/>
          <w:color w:val="0000FF"/>
          <w:spacing w:val="0"/>
          <w:sz w:val="24"/>
          <w:szCs w:val="24"/>
          <w:highlight w:val="none"/>
          <w:shd w:val="clear" w:fill="FFFFFF"/>
        </w:rPr>
        <w:t>合同签订后供应商出具发票十个工作日内支付合同价的</w:t>
      </w:r>
      <w:r>
        <w:rPr>
          <w:rFonts w:hint="eastAsia" w:ascii="Segoe UI" w:hAnsi="Segoe UI" w:eastAsia="Segoe UI" w:cs="Segoe UI"/>
          <w:i w:val="0"/>
          <w:iCs w:val="0"/>
          <w:caps w:val="0"/>
          <w:color w:val="0000FF"/>
          <w:spacing w:val="0"/>
          <w:sz w:val="24"/>
          <w:szCs w:val="24"/>
          <w:highlight w:val="none"/>
          <w:shd w:val="clear" w:fill="FFFFFF"/>
          <w:lang w:val="en-US" w:eastAsia="zh-CN"/>
        </w:rPr>
        <w:t>3</w:t>
      </w:r>
      <w:r>
        <w:rPr>
          <w:rFonts w:hint="eastAsia" w:ascii="Segoe UI" w:hAnsi="Segoe UI" w:eastAsia="Segoe UI" w:cs="Segoe UI"/>
          <w:i w:val="0"/>
          <w:iCs w:val="0"/>
          <w:caps w:val="0"/>
          <w:color w:val="0000FF"/>
          <w:spacing w:val="0"/>
          <w:sz w:val="24"/>
          <w:szCs w:val="24"/>
          <w:highlight w:val="none"/>
          <w:shd w:val="clear" w:fill="FFFFFF"/>
        </w:rPr>
        <w:t>0%</w:t>
      </w:r>
      <w:r>
        <w:rPr>
          <w:rFonts w:hint="eastAsia" w:ascii="Segoe UI" w:hAnsi="Segoe UI" w:eastAsia="Segoe UI" w:cs="Segoe UI"/>
          <w:i w:val="0"/>
          <w:iCs w:val="0"/>
          <w:caps w:val="0"/>
          <w:color w:val="0000FF"/>
          <w:spacing w:val="0"/>
          <w:sz w:val="24"/>
          <w:szCs w:val="24"/>
          <w:highlight w:val="none"/>
          <w:shd w:val="clear" w:fill="FFFFFF"/>
          <w:lang w:val="en-US" w:eastAsia="zh-CN"/>
        </w:rPr>
        <w:t>作为预付款</w:t>
      </w:r>
      <w:r>
        <w:rPr>
          <w:rFonts w:hint="eastAsia" w:ascii="Segoe UI" w:hAnsi="Segoe UI" w:eastAsia="Segoe UI" w:cs="Segoe UI"/>
          <w:i w:val="0"/>
          <w:iCs w:val="0"/>
          <w:caps w:val="0"/>
          <w:color w:val="0000FF"/>
          <w:spacing w:val="0"/>
          <w:sz w:val="24"/>
          <w:szCs w:val="24"/>
          <w:highlight w:val="none"/>
          <w:shd w:val="clear" w:fill="FFFFFF"/>
        </w:rPr>
        <w:t>，</w:t>
      </w:r>
      <w:r>
        <w:rPr>
          <w:rFonts w:hint="eastAsia" w:ascii="Segoe UI" w:hAnsi="Segoe UI" w:eastAsia="Segoe UI" w:cs="Segoe UI"/>
          <w:i w:val="0"/>
          <w:iCs w:val="0"/>
          <w:caps w:val="0"/>
          <w:color w:val="0000FF"/>
          <w:spacing w:val="0"/>
          <w:sz w:val="24"/>
          <w:szCs w:val="24"/>
          <w:highlight w:val="none"/>
          <w:shd w:val="clear" w:fill="FFFFFF"/>
          <w:lang w:val="en-US" w:eastAsia="zh-CN"/>
        </w:rPr>
        <w:t>施工期间按监理单位、跟踪审计单位</w:t>
      </w:r>
      <w:r>
        <w:rPr>
          <w:rFonts w:ascii="Segoe UI" w:hAnsi="Segoe UI" w:eastAsia="Segoe UI" w:cs="Segoe UI"/>
          <w:i w:val="0"/>
          <w:iCs w:val="0"/>
          <w:caps w:val="0"/>
          <w:color w:val="0000FF"/>
          <w:spacing w:val="0"/>
          <w:sz w:val="24"/>
          <w:szCs w:val="24"/>
          <w:highlight w:val="none"/>
          <w:shd w:val="clear" w:fill="FFFFFF"/>
        </w:rPr>
        <w:t>审核后进度价款的80%</w:t>
      </w:r>
      <w:r>
        <w:rPr>
          <w:rFonts w:hint="eastAsia" w:ascii="Segoe UI" w:hAnsi="Segoe UI" w:eastAsia="宋体" w:cs="Segoe UI"/>
          <w:i w:val="0"/>
          <w:iCs w:val="0"/>
          <w:caps w:val="0"/>
          <w:color w:val="0000FF"/>
          <w:spacing w:val="0"/>
          <w:sz w:val="24"/>
          <w:szCs w:val="24"/>
          <w:highlight w:val="none"/>
          <w:shd w:val="clear" w:fill="FFFFFF"/>
          <w:lang w:val="en-US" w:eastAsia="zh-CN"/>
        </w:rPr>
        <w:t>以上</w:t>
      </w:r>
      <w:r>
        <w:rPr>
          <w:rFonts w:ascii="Segoe UI" w:hAnsi="Segoe UI" w:eastAsia="Segoe UI" w:cs="Segoe UI"/>
          <w:i w:val="0"/>
          <w:iCs w:val="0"/>
          <w:caps w:val="0"/>
          <w:color w:val="0000FF"/>
          <w:spacing w:val="0"/>
          <w:sz w:val="24"/>
          <w:szCs w:val="24"/>
          <w:highlight w:val="none"/>
          <w:shd w:val="clear" w:fill="FFFFFF"/>
        </w:rPr>
        <w:t>支付</w:t>
      </w:r>
      <w:r>
        <w:rPr>
          <w:rFonts w:hint="eastAsia" w:ascii="Segoe UI" w:hAnsi="Segoe UI" w:eastAsia="Segoe UI" w:cs="Segoe UI"/>
          <w:i w:val="0"/>
          <w:iCs w:val="0"/>
          <w:caps w:val="0"/>
          <w:color w:val="0000FF"/>
          <w:spacing w:val="0"/>
          <w:sz w:val="24"/>
          <w:szCs w:val="24"/>
          <w:highlight w:val="none"/>
          <w:shd w:val="clear" w:fill="FFFFFF"/>
          <w:lang w:val="en-US" w:eastAsia="zh-CN"/>
        </w:rPr>
        <w:t>工程</w:t>
      </w:r>
      <w:r>
        <w:rPr>
          <w:rFonts w:ascii="Segoe UI" w:hAnsi="Segoe UI" w:eastAsia="Segoe UI" w:cs="Segoe UI"/>
          <w:i w:val="0"/>
          <w:iCs w:val="0"/>
          <w:caps w:val="0"/>
          <w:color w:val="0000FF"/>
          <w:spacing w:val="0"/>
          <w:sz w:val="24"/>
          <w:szCs w:val="24"/>
          <w:highlight w:val="none"/>
          <w:shd w:val="clear" w:fill="FFFFFF"/>
        </w:rPr>
        <w:t>进度款，</w:t>
      </w:r>
      <w:r>
        <w:rPr>
          <w:rFonts w:hint="eastAsia" w:ascii="Segoe UI" w:hAnsi="Segoe UI" w:eastAsia="Segoe UI" w:cs="Segoe UI"/>
          <w:i w:val="0"/>
          <w:iCs w:val="0"/>
          <w:caps w:val="0"/>
          <w:color w:val="0000FF"/>
          <w:spacing w:val="0"/>
          <w:sz w:val="24"/>
          <w:szCs w:val="24"/>
          <w:highlight w:val="none"/>
          <w:shd w:val="clear" w:fill="FFFFFF"/>
        </w:rPr>
        <w:t>工程经发包人、监理等相关部门验收合格</w:t>
      </w:r>
      <w:r>
        <w:rPr>
          <w:rFonts w:ascii="Segoe UI" w:hAnsi="Segoe UI" w:eastAsia="Segoe UI" w:cs="Segoe UI"/>
          <w:i w:val="0"/>
          <w:iCs w:val="0"/>
          <w:caps w:val="0"/>
          <w:color w:val="0000FF"/>
          <w:spacing w:val="0"/>
          <w:sz w:val="24"/>
          <w:szCs w:val="24"/>
          <w:highlight w:val="none"/>
          <w:shd w:val="clear" w:fill="FFFFFF"/>
        </w:rPr>
        <w:t>后支付至累计核定工作量总价的90%</w:t>
      </w:r>
      <w:r>
        <w:rPr>
          <w:rFonts w:hint="eastAsia" w:ascii="Segoe UI" w:hAnsi="Segoe UI" w:eastAsia="Segoe UI" w:cs="Segoe UI"/>
          <w:i w:val="0"/>
          <w:iCs w:val="0"/>
          <w:caps w:val="0"/>
          <w:color w:val="0000FF"/>
          <w:spacing w:val="0"/>
          <w:sz w:val="24"/>
          <w:szCs w:val="24"/>
          <w:highlight w:val="none"/>
          <w:shd w:val="clear" w:fill="FFFFFF"/>
          <w:lang w:eastAsia="zh-CN"/>
        </w:rPr>
        <w:t>，</w:t>
      </w:r>
      <w:r>
        <w:rPr>
          <w:rFonts w:hint="eastAsia" w:ascii="Segoe UI" w:hAnsi="Segoe UI" w:eastAsia="Segoe UI" w:cs="Segoe UI"/>
          <w:i w:val="0"/>
          <w:iCs w:val="0"/>
          <w:caps w:val="0"/>
          <w:color w:val="0000FF"/>
          <w:spacing w:val="0"/>
          <w:sz w:val="24"/>
          <w:szCs w:val="24"/>
          <w:highlight w:val="none"/>
          <w:shd w:val="clear" w:fill="FFFFFF"/>
        </w:rPr>
        <w:t>该工程审计结束后</w:t>
      </w:r>
      <w:r>
        <w:rPr>
          <w:rFonts w:hint="eastAsia" w:ascii="Segoe UI" w:hAnsi="Segoe UI" w:eastAsia="Segoe UI" w:cs="Segoe UI"/>
          <w:i w:val="0"/>
          <w:iCs w:val="0"/>
          <w:caps w:val="0"/>
          <w:color w:val="0000FF"/>
          <w:spacing w:val="0"/>
          <w:sz w:val="24"/>
          <w:szCs w:val="24"/>
          <w:highlight w:val="none"/>
          <w:shd w:val="clear" w:fill="FFFFFF"/>
          <w:lang w:eastAsia="zh-CN"/>
        </w:rPr>
        <w:t>，</w:t>
      </w:r>
      <w:r>
        <w:rPr>
          <w:rFonts w:hint="eastAsia" w:ascii="Segoe UI" w:hAnsi="Segoe UI" w:eastAsia="Segoe UI" w:cs="Segoe UI"/>
          <w:i w:val="0"/>
          <w:iCs w:val="0"/>
          <w:caps w:val="0"/>
          <w:color w:val="0000FF"/>
          <w:spacing w:val="0"/>
          <w:sz w:val="24"/>
          <w:szCs w:val="24"/>
          <w:highlight w:val="none"/>
          <w:shd w:val="clear" w:fill="FFFFFF"/>
          <w:lang w:val="en-US" w:eastAsia="zh-CN"/>
        </w:rPr>
        <w:t>支</w:t>
      </w:r>
      <w:r>
        <w:rPr>
          <w:rFonts w:ascii="Segoe UI" w:hAnsi="Segoe UI" w:eastAsia="Segoe UI" w:cs="Segoe UI"/>
          <w:i w:val="0"/>
          <w:iCs w:val="0"/>
          <w:caps w:val="0"/>
          <w:color w:val="0000FF"/>
          <w:spacing w:val="0"/>
          <w:sz w:val="24"/>
          <w:szCs w:val="24"/>
          <w:highlight w:val="none"/>
          <w:shd w:val="clear" w:fill="FFFFFF"/>
        </w:rPr>
        <w:t>付至审定价的97%</w:t>
      </w:r>
      <w:r>
        <w:rPr>
          <w:rFonts w:hint="eastAsia" w:ascii="Segoe UI" w:hAnsi="Segoe UI" w:eastAsia="Segoe UI" w:cs="Segoe UI"/>
          <w:i w:val="0"/>
          <w:iCs w:val="0"/>
          <w:caps w:val="0"/>
          <w:color w:val="0000FF"/>
          <w:spacing w:val="0"/>
          <w:sz w:val="24"/>
          <w:szCs w:val="24"/>
          <w:highlight w:val="none"/>
          <w:shd w:val="clear" w:fill="FFFFFF"/>
          <w:lang w:eastAsia="zh-CN"/>
        </w:rPr>
        <w:t>，</w:t>
      </w:r>
      <w:r>
        <w:rPr>
          <w:rFonts w:hint="eastAsia" w:ascii="Segoe UI" w:hAnsi="Segoe UI" w:eastAsia="Segoe UI" w:cs="Segoe UI"/>
          <w:i w:val="0"/>
          <w:iCs w:val="0"/>
          <w:caps w:val="0"/>
          <w:color w:val="0000FF"/>
          <w:spacing w:val="0"/>
          <w:sz w:val="24"/>
          <w:szCs w:val="24"/>
          <w:highlight w:val="none"/>
          <w:shd w:val="clear" w:fill="FFFFFF"/>
          <w:lang w:val="en-US" w:eastAsia="zh-CN"/>
        </w:rPr>
        <w:t>剩余</w:t>
      </w:r>
      <w:r>
        <w:rPr>
          <w:rFonts w:hint="eastAsia" w:ascii="Segoe UI" w:hAnsi="Segoe UI" w:eastAsia="Segoe UI" w:cs="Segoe UI"/>
          <w:i w:val="0"/>
          <w:iCs w:val="0"/>
          <w:caps w:val="0"/>
          <w:color w:val="0000FF"/>
          <w:spacing w:val="0"/>
          <w:sz w:val="24"/>
          <w:szCs w:val="24"/>
          <w:highlight w:val="none"/>
          <w:shd w:val="clear" w:fill="FFFFFF"/>
        </w:rPr>
        <w:t>3%作为质保金，待质保期满后无息支付</w:t>
      </w:r>
      <w:r>
        <w:rPr>
          <w:rFonts w:hint="eastAsia" w:ascii="Segoe UI" w:hAnsi="Segoe UI" w:eastAsia="Segoe UI" w:cs="Segoe UI"/>
          <w:i w:val="0"/>
          <w:iCs w:val="0"/>
          <w:caps w:val="0"/>
          <w:color w:val="0000FF"/>
          <w:spacing w:val="0"/>
          <w:sz w:val="24"/>
          <w:szCs w:val="24"/>
          <w:highlight w:val="none"/>
          <w:shd w:val="clear" w:fill="FFFFFF"/>
          <w:lang w:eastAsia="zh-CN"/>
        </w:rPr>
        <w:t>。</w:t>
      </w:r>
    </w:p>
    <w:p w14:paraId="1D41258F">
      <w:pPr>
        <w:numPr>
          <w:ilvl w:val="0"/>
          <w:numId w:val="0"/>
        </w:numPr>
        <w:spacing w:line="360" w:lineRule="auto"/>
        <w:ind w:firstLine="480" w:firstLineChars="200"/>
        <w:rPr>
          <w:rFonts w:ascii="Segoe UI" w:hAnsi="Segoe UI" w:eastAsia="Segoe UI" w:cs="Segoe UI"/>
          <w:i w:val="0"/>
          <w:iCs w:val="0"/>
          <w:caps w:val="0"/>
          <w:color w:val="0F1115"/>
          <w:spacing w:val="0"/>
          <w:sz w:val="24"/>
          <w:szCs w:val="24"/>
          <w:highlight w:val="none"/>
          <w:shd w:val="clear" w:fill="FFFFFF"/>
        </w:rPr>
      </w:pPr>
      <w:r>
        <w:rPr>
          <w:rFonts w:ascii="Segoe UI" w:hAnsi="Segoe UI" w:eastAsia="Segoe UI" w:cs="Segoe UI"/>
          <w:i w:val="0"/>
          <w:iCs w:val="0"/>
          <w:caps w:val="0"/>
          <w:color w:val="0F1115"/>
          <w:spacing w:val="0"/>
          <w:sz w:val="24"/>
          <w:szCs w:val="24"/>
          <w:highlight w:val="none"/>
          <w:shd w:val="clear" w:fill="FFFFFF"/>
        </w:rPr>
        <w:t>注：本部分标注“</w:t>
      </w:r>
      <w:r>
        <w:rPr>
          <w:rFonts w:hint="eastAsia" w:ascii="Segoe UI" w:hAnsi="Segoe UI" w:eastAsia="Segoe UI" w:cs="Segoe UI"/>
          <w:i w:val="0"/>
          <w:iCs w:val="0"/>
          <w:caps w:val="0"/>
          <w:color w:val="0F1115"/>
          <w:spacing w:val="0"/>
          <w:sz w:val="24"/>
          <w:szCs w:val="24"/>
          <w:highlight w:val="none"/>
          <w:shd w:val="clear" w:fill="FFFFFF"/>
        </w:rPr>
        <w:t>★</w:t>
      </w:r>
      <w:r>
        <w:rPr>
          <w:rFonts w:ascii="Segoe UI" w:hAnsi="Segoe UI" w:eastAsia="Segoe UI" w:cs="Segoe UI"/>
          <w:i w:val="0"/>
          <w:iCs w:val="0"/>
          <w:caps w:val="0"/>
          <w:color w:val="0F1115"/>
          <w:spacing w:val="0"/>
          <w:sz w:val="24"/>
          <w:szCs w:val="24"/>
          <w:highlight w:val="none"/>
          <w:shd w:val="clear" w:fill="FFFFFF"/>
        </w:rPr>
        <w:t>”实质性要求，必须响应，不允许负偏离，否则作为无效处理。</w:t>
      </w:r>
    </w:p>
    <w:bookmarkEnd w:id="0"/>
    <w:p w14:paraId="0BADB45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21C85"/>
    <w:multiLevelType w:val="singleLevel"/>
    <w:tmpl w:val="BF321C85"/>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12CE667E"/>
    <w:rsid w:val="184A3ECA"/>
    <w:rsid w:val="2A99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2025-11-21T04:41:21Z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AFE9BC197AC6496F9453F2F5D712BA15_12</vt:lpwstr>
  </property>
  <property fmtid="{D5CDD505-2E9C-101B-9397-08002B2CF9AE}" pid="4" name="KSOTemplateDocerSaveRecord">
    <vt:lpwstr>eyJoZGlkIjoiZGQ5MzE1N2E1NmVhOTRiZGU4ZjNhZWZmZGYxMjZhNjkiLCJ1c2VySWQiOiIxNjYxMjk5OTMzIn0=</vt:lpwstr>
  </property>
</Properties>
</file>